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59FE" w14:textId="718BE031" w:rsidR="001E7942" w:rsidRDefault="001E7942" w:rsidP="001E7942">
      <w:pPr>
        <w:jc w:val="both"/>
        <w:rPr>
          <w:rFonts w:ascii="Times New Roman" w:hAnsi="Times New Roman" w:cs="Times New Roman"/>
          <w:b/>
          <w:sz w:val="24"/>
          <w:szCs w:val="24"/>
        </w:rPr>
      </w:pPr>
      <w:r>
        <w:rPr>
          <w:rFonts w:ascii="Times New Roman" w:hAnsi="Times New Roman" w:cs="Times New Roman"/>
          <w:b/>
          <w:sz w:val="24"/>
          <w:szCs w:val="24"/>
        </w:rPr>
        <w:t>NOTA DE JUSTIFICACIÓN DE CRITERIOS FALTANTES PARA FORMATO VIIIA (</w:t>
      </w:r>
      <w:r w:rsidRPr="001E7942">
        <w:rPr>
          <w:rFonts w:ascii="Times New Roman" w:hAnsi="Times New Roman" w:cs="Times New Roman"/>
          <w:b/>
          <w:sz w:val="24"/>
          <w:szCs w:val="24"/>
        </w:rPr>
        <w:t>REMUNERACIONES BRUTAS Y NETAS DE TODAS LAS PERSONAS SERVIDORAS PÚBLICAS DE BASE Y DE CONFIANZA</w:t>
      </w:r>
      <w:r>
        <w:rPr>
          <w:rFonts w:ascii="Times New Roman" w:hAnsi="Times New Roman" w:cs="Times New Roman"/>
          <w:b/>
          <w:sz w:val="24"/>
          <w:szCs w:val="24"/>
        </w:rPr>
        <w:t xml:space="preserve">) </w:t>
      </w:r>
      <w:r w:rsidR="002C74A5">
        <w:rPr>
          <w:rFonts w:ascii="Times New Roman" w:hAnsi="Times New Roman" w:cs="Times New Roman"/>
          <w:b/>
          <w:sz w:val="24"/>
          <w:szCs w:val="24"/>
        </w:rPr>
        <w:t>4</w:t>
      </w:r>
      <w:r w:rsidRPr="00DA428C">
        <w:rPr>
          <w:rFonts w:ascii="Times New Roman" w:hAnsi="Times New Roman" w:cs="Times New Roman"/>
          <w:b/>
          <w:sz w:val="24"/>
          <w:szCs w:val="24"/>
        </w:rPr>
        <w:t>° TRIMESTRE 2024</w:t>
      </w:r>
    </w:p>
    <w:p w14:paraId="60102BA1" w14:textId="77777777" w:rsidR="001E7942" w:rsidRPr="00DA428C" w:rsidRDefault="001E7942" w:rsidP="001E7942">
      <w:pPr>
        <w:jc w:val="both"/>
        <w:rPr>
          <w:rFonts w:ascii="Times New Roman" w:hAnsi="Times New Roman" w:cs="Times New Roman"/>
          <w:b/>
          <w:sz w:val="24"/>
          <w:szCs w:val="24"/>
        </w:rPr>
      </w:pPr>
    </w:p>
    <w:p w14:paraId="6766AED4" w14:textId="7792E2CE" w:rsidR="001E7942" w:rsidRPr="00DA428C" w:rsidRDefault="001E7942" w:rsidP="001E7942">
      <w:pPr>
        <w:ind w:firstLine="708"/>
        <w:jc w:val="both"/>
        <w:rPr>
          <w:rFonts w:ascii="Times New Roman" w:hAnsi="Times New Roman" w:cs="Times New Roman"/>
          <w:sz w:val="24"/>
          <w:szCs w:val="24"/>
        </w:rPr>
      </w:pPr>
      <w:r w:rsidRPr="00DA428C">
        <w:rPr>
          <w:rFonts w:ascii="Times New Roman" w:hAnsi="Times New Roman" w:cs="Times New Roman"/>
          <w:sz w:val="24"/>
          <w:szCs w:val="24"/>
        </w:rPr>
        <w:t xml:space="preserve">Por este medio se notifica que a lo que corresponde al </w:t>
      </w:r>
      <w:r w:rsidR="002C74A5">
        <w:rPr>
          <w:rFonts w:ascii="Times New Roman" w:hAnsi="Times New Roman" w:cs="Times New Roman"/>
          <w:sz w:val="24"/>
          <w:szCs w:val="24"/>
        </w:rPr>
        <w:t>4</w:t>
      </w:r>
      <w:r w:rsidRPr="00DA428C">
        <w:rPr>
          <w:rFonts w:ascii="Times New Roman" w:hAnsi="Times New Roman" w:cs="Times New Roman"/>
          <w:sz w:val="24"/>
          <w:szCs w:val="24"/>
        </w:rPr>
        <w:t xml:space="preserve">° trimestre del ejercicio 2024 respecto al formato VIIIA “Remuneraciones brutas y netas de todas las personas servidoras públicas de base y de confianza”, perteneciente a la Tesorería Municipal de Teúl de González Ortega, no se cuenta con la información para completar los criterios faltantes, puesto a que no se realizan pagos por conceptos de; “percepciones adicionales en especie”, “comisiones”, “estímulos” y “prestaciones en especie” ya que no están establecidos ni autorizados en el tabulador de sueldos, salarios y dietas contemplado dentro del Presupuesto de Egresos del ejercicio fiscal 2024, mismo que se autoriza por el H. Ayuntamiento del municipio, posteriormente por Auditoria Superior del Estado y finalmente por la Legislatura del Estado. A continuación, se describe el enlace que muestra la aprobación del Presupuesto de Egresos 2024; http://teul.gob.mx/transparencia/2021_Admon_20212024/TESORERIA/2023/PRIMERTRIMESTRE/Aprobacion%20Presupuesto%20de%20Egresos%202023.pdf. El enlace del tabulador de sueldos, salarios y dietas se encuentra en el formato VIIIB “tabulador de sueldos y salarios”. Sin embargo, de los pagos por conceptos de:  “percepciones adicionales en dinero”, “ingresos”, “sistemas de compensación”, “gratificaciones”, “primas”, “dietas”, “bonos”, “apoyos económicos” y “prestaciones económicas” varían dependiendo de la fecha en que se hayan realizado y de que no todos los empleados aplican para los mismos beneficios, debido a que parte del personal se encuentra afiliado al SUTSEMOP, para su verificación se muestra el enlace a los convenios aplicables en nómina realizados entre el Municipio y el SUTSEMOP;  http://teul.gob.mx/transparencia/2021_Admon_20212024/TESORERIA/2022/PRIMERTRIMESTRE/CONVENIO%202013_merged.pdf , además según el Artículo 84 de la Ley Federal del Trabajo el salario se integra con los pagos hechos en efectivo por diferentes criterios, de los cuales, en el Artículo 80 y 81 de la misma ley se especifica la temporalidad de la prima vacacional, así como las bases para su cálculo, de igual manera y en dicha ley en el Artículo 87 se encuentran las mismas especificaciones pero para la prestación del aguinaldo. </w:t>
      </w:r>
      <w:r w:rsidRPr="00DA428C">
        <w:rPr>
          <w:rFonts w:ascii="Times New Roman" w:eastAsia="Times New Roman" w:hAnsi="Times New Roman" w:cs="Times New Roman"/>
          <w:color w:val="000000"/>
          <w:sz w:val="24"/>
          <w:szCs w:val="24"/>
          <w:lang w:eastAsia="es-MX"/>
        </w:rPr>
        <w:t xml:space="preserve">Como observación extra, respecto de la Tabla_348608 “Denominación de las percepciones adicionales en dinero” no se informan cantidades, aunque en el Estado Analítico del Ejercicio del Presupuesto de Egresos en la partida 1331 “Remuneraciones por horas extraordinarias” se muestra un total </w:t>
      </w:r>
      <w:r w:rsidRPr="00801B9B">
        <w:rPr>
          <w:rFonts w:ascii="Times New Roman" w:eastAsia="Times New Roman" w:hAnsi="Times New Roman" w:cs="Times New Roman"/>
          <w:color w:val="000000"/>
          <w:sz w:val="24"/>
          <w:szCs w:val="24"/>
          <w:lang w:eastAsia="es-MX"/>
        </w:rPr>
        <w:t>de $</w:t>
      </w:r>
      <w:r w:rsidR="00801B9B" w:rsidRPr="00801B9B">
        <w:rPr>
          <w:rFonts w:ascii="Times New Roman" w:eastAsia="Times New Roman" w:hAnsi="Times New Roman" w:cs="Times New Roman"/>
          <w:color w:val="000000"/>
          <w:sz w:val="24"/>
          <w:szCs w:val="24"/>
          <w:lang w:eastAsia="es-MX"/>
        </w:rPr>
        <w:t>13,619.21</w:t>
      </w:r>
      <w:r w:rsidRPr="00801B9B">
        <w:rPr>
          <w:rFonts w:ascii="Times New Roman" w:eastAsia="Times New Roman" w:hAnsi="Times New Roman" w:cs="Times New Roman"/>
          <w:color w:val="000000"/>
          <w:sz w:val="24"/>
          <w:szCs w:val="24"/>
          <w:lang w:eastAsia="es-MX"/>
        </w:rPr>
        <w:t>,</w:t>
      </w:r>
      <w:r w:rsidRPr="00DA428C">
        <w:rPr>
          <w:rFonts w:ascii="Times New Roman" w:eastAsia="Times New Roman" w:hAnsi="Times New Roman" w:cs="Times New Roman"/>
          <w:color w:val="000000"/>
          <w:sz w:val="24"/>
          <w:szCs w:val="24"/>
          <w:lang w:eastAsia="es-MX"/>
        </w:rPr>
        <w:t xml:space="preserve"> sin embargo, no se puede hacer específica la información por este medio debido a que se realizaron los pagos a un conjunto de personas de apoyo para obras públicas las cuales fueron contratadas temporalmente y por tanto no están integradas en la nómina.</w:t>
      </w:r>
      <w:r w:rsidRPr="00DA428C">
        <w:rPr>
          <w:rFonts w:ascii="Times New Roman" w:hAnsi="Times New Roman" w:cs="Times New Roman"/>
          <w:sz w:val="24"/>
          <w:szCs w:val="24"/>
        </w:rPr>
        <w:t xml:space="preserve"> Respecto de la Tabla_348609 “Denominación de los ingresos” en los criterios de monto bruto y monto neto se refleja la misma cantidad puesto a que se trata del salario quincenal de los empleados, además que en el Reporte de formatos se informan los totales antes y después de impuestos. Respecto de la Tabla_348586 “Denominación de las dietas” se informa que reciben sólo dieta aquellas personas a las que </w:t>
      </w:r>
      <w:r w:rsidRPr="00DA428C">
        <w:rPr>
          <w:rFonts w:ascii="Times New Roman" w:hAnsi="Times New Roman" w:cs="Times New Roman"/>
          <w:sz w:val="24"/>
          <w:szCs w:val="24"/>
        </w:rPr>
        <w:lastRenderedPageBreak/>
        <w:t>se les denomina regidores y por tanto no tienen un salario como tal, razón por la que en los criterios “Monto mensual bruto de la remuneración, en tabulador” y “Monto mensual neto de la remuneración, en tabulador” del Reporte de formatos se encuentran en 0, para su fundamento legal según el Artículo 160, Fracción I de la Constitución Política del Estado Libre y Soberano de Zacatecas</w:t>
      </w:r>
      <w:r w:rsidR="00801B9B">
        <w:rPr>
          <w:rFonts w:ascii="Times New Roman" w:hAnsi="Times New Roman" w:cs="Times New Roman"/>
          <w:sz w:val="24"/>
          <w:szCs w:val="24"/>
        </w:rPr>
        <w:t>.</w:t>
      </w:r>
      <w:r w:rsidRPr="00DA428C">
        <w:rPr>
          <w:rFonts w:ascii="Times New Roman" w:hAnsi="Times New Roman" w:cs="Times New Roman"/>
          <w:sz w:val="24"/>
          <w:szCs w:val="24"/>
        </w:rPr>
        <w:t xml:space="preserve"> Respecto de la Tabla_348598 “Denominación de las gratificaciones” falta por reportar un total de $</w:t>
      </w:r>
      <w:r w:rsidR="00EE2F80">
        <w:rPr>
          <w:rFonts w:ascii="Times New Roman" w:hAnsi="Times New Roman" w:cs="Times New Roman"/>
          <w:sz w:val="24"/>
          <w:szCs w:val="24"/>
        </w:rPr>
        <w:t xml:space="preserve">924,347.88 </w:t>
      </w:r>
      <w:r w:rsidRPr="00DA428C">
        <w:rPr>
          <w:rFonts w:ascii="Times New Roman" w:hAnsi="Times New Roman" w:cs="Times New Roman"/>
          <w:sz w:val="24"/>
          <w:szCs w:val="24"/>
        </w:rPr>
        <w:t>están contemplados en el Estado Analítico del Ejercicio del Presupuesto de Egresos en la partida 1322 “Gratificación de fin de año”, de igual manera falta por reportar $</w:t>
      </w:r>
      <w:r w:rsidR="00577938" w:rsidRPr="00577938">
        <w:rPr>
          <w:rFonts w:ascii="Times New Roman" w:hAnsi="Times New Roman" w:cs="Times New Roman"/>
          <w:sz w:val="24"/>
          <w:szCs w:val="24"/>
        </w:rPr>
        <w:t>37,941.76</w:t>
      </w:r>
      <w:r w:rsidRPr="00577938">
        <w:rPr>
          <w:rFonts w:ascii="Times New Roman" w:hAnsi="Times New Roman" w:cs="Times New Roman"/>
          <w:sz w:val="24"/>
          <w:szCs w:val="24"/>
        </w:rPr>
        <w:t xml:space="preserve"> </w:t>
      </w:r>
      <w:r w:rsidRPr="00DA428C">
        <w:rPr>
          <w:rFonts w:ascii="Times New Roman" w:hAnsi="Times New Roman" w:cs="Times New Roman"/>
          <w:sz w:val="24"/>
          <w:szCs w:val="24"/>
        </w:rPr>
        <w:t>correspondientes a 3 prestaciones pagadas a personal sindicalizado por concepto de Prima Quinquenal por años de servicio trabajados,  no contemplados dentro de la nómina y contabilizados en la partida 1311”Prima Quinquenal por años de servicio efectivo”. Respecto de la Tabla_348587 “Denominación de los bonos” falta por reportar un total de $2</w:t>
      </w:r>
      <w:r w:rsidR="00112397">
        <w:rPr>
          <w:rFonts w:ascii="Times New Roman" w:hAnsi="Times New Roman" w:cs="Times New Roman"/>
          <w:sz w:val="24"/>
          <w:szCs w:val="24"/>
        </w:rPr>
        <w:t>1</w:t>
      </w:r>
      <w:r w:rsidRPr="00DA428C">
        <w:rPr>
          <w:rFonts w:ascii="Times New Roman" w:hAnsi="Times New Roman" w:cs="Times New Roman"/>
          <w:sz w:val="24"/>
          <w:szCs w:val="24"/>
        </w:rPr>
        <w:t xml:space="preserve">,000.00, que sin embargo aparece en el Estado Analítico del Ejercicio del Presupuesto de Egresos en la partida 1323 “Bono Especial Anual”, no obstante, no se puede hacer específica la información por este medio debido a que se realizó el pago de una prestación para 36 trabajadores sindicalizados incluyendo algunos del Sistema de Agua Potable de este municipio. </w:t>
      </w:r>
    </w:p>
    <w:p w14:paraId="694DF812" w14:textId="77777777" w:rsidR="00B55D12" w:rsidRDefault="00B55D12"/>
    <w:sectPr w:rsidR="00B55D12" w:rsidSect="000F614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42"/>
    <w:rsid w:val="000F6144"/>
    <w:rsid w:val="00112397"/>
    <w:rsid w:val="001E4123"/>
    <w:rsid w:val="001E7942"/>
    <w:rsid w:val="002C74A5"/>
    <w:rsid w:val="003F4B86"/>
    <w:rsid w:val="00577938"/>
    <w:rsid w:val="007B6E95"/>
    <w:rsid w:val="00801B9B"/>
    <w:rsid w:val="00B55D12"/>
    <w:rsid w:val="00CB2DF9"/>
    <w:rsid w:val="00EE2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C470"/>
  <w15:chartTrackingRefBased/>
  <w15:docId w15:val="{251F1DA9-A024-4C0F-AFBD-EE727E8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4025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 PC</dc:creator>
  <cp:keywords/>
  <dc:description/>
  <cp:lastModifiedBy>Usuario</cp:lastModifiedBy>
  <cp:revision>2</cp:revision>
  <dcterms:created xsi:type="dcterms:W3CDTF">2025-03-27T18:13:00Z</dcterms:created>
  <dcterms:modified xsi:type="dcterms:W3CDTF">2025-03-27T18:13:00Z</dcterms:modified>
</cp:coreProperties>
</file>